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21f158c5c47f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18627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II. GIMNAZIJA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856.531,03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975.718,43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866.517,27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1.114.629,86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9.986,24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138.911,43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1391,0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10.782,85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138.911,43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1288,3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Rezultat poslovanja za obračunsko razdoblje je manjak prihoda nad rashodima u iznosu 138.911,43€. 
Razlog ovakvog rezultata je proknjižen trošak plaće za lipanj/2025, prijevoz zaposlenika lipanj/2025 te materijalnih rashoda za lipanj 2025 a 
prihodi će dospjeti u srpnju 2025.g.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Stavka materijal i dijelovi za tekuće i investicijsko održavanje povećana je zbog kupnje materijala za uređenje i sanaciju učionica i sanitarnog čvora.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12.500,81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499,0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Odstupanja od ostvarenog u izvještajnom razdoblju za prethodnu godinu je zbog Usluge čuvanja imovine i osoba-zaštitar u iznosu od 9.738,77€ ostali iznos je za grafičke - tiskarske usluge i to izrada šk.časopisa u iznosu od 2.762,04€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6484,3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za rad povjerenstava su u iznosu 1858,40€ i to naknade čl. povjerenstva 1.120,00€ te naknade za rad članovima za stručne ispite u iznosu 738,40€.
Isto u obračunskom razdoblju prethodne godine bilo je isplaćeno u razdoblju srpanj-prosinac 2024.g.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je 0,00. Sve obveze su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173.074,02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obveza na kraju izvještajnog razdoblja su 173.074,02 €. Od toga su obveze rashoda poslovanja 161.819,02€ ( plaća lipanj/2025, prijevoz lipanj /2025 te materijalni rashodi lipanj /2025) a obveza za HZZO 11.255,00 €.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66270f45174e7f" /></Relationships>
</file>