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282" w:rsidRDefault="00736E3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           </w:t>
      </w:r>
      <w:r w:rsidR="00C74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p w:rsidR="00457282" w:rsidRDefault="0045728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457282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3109B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7/25</w:t>
            </w:r>
          </w:p>
        </w:tc>
      </w:tr>
    </w:tbl>
    <w:p w:rsidR="00457282" w:rsidRDefault="00C74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434"/>
        <w:gridCol w:w="3468"/>
        <w:gridCol w:w="2302"/>
        <w:gridCol w:w="1189"/>
        <w:gridCol w:w="1118"/>
        <w:gridCol w:w="237"/>
        <w:gridCol w:w="626"/>
        <w:gridCol w:w="850"/>
      </w:tblGrid>
      <w:tr w:rsidR="004572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63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4572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4"/>
                <w:szCs w:val="24"/>
                <w:lang w:eastAsia="hr-HR"/>
              </w:rPr>
              <w:t>Naziv škole:</w:t>
            </w:r>
          </w:p>
        </w:tc>
        <w:tc>
          <w:tcPr>
            <w:tcW w:w="63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II</w:t>
            </w:r>
            <w:r w:rsidR="00CF3C40"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 xml:space="preserve"> GIMNAZIJA - SPLIT</w:t>
            </w:r>
          </w:p>
        </w:tc>
      </w:tr>
      <w:tr w:rsidR="004572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F3C4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3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63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Teslina 10</w:t>
            </w:r>
          </w:p>
        </w:tc>
      </w:tr>
      <w:tr w:rsidR="004572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4"/>
                <w:szCs w:val="24"/>
                <w:lang w:eastAsia="hr-HR"/>
              </w:rPr>
              <w:t>Mjesto:</w:t>
            </w:r>
          </w:p>
        </w:tc>
        <w:tc>
          <w:tcPr>
            <w:tcW w:w="63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Split</w:t>
            </w:r>
            <w:bookmarkStart w:id="0" w:name="_GoBack"/>
            <w:bookmarkEnd w:id="0"/>
          </w:p>
        </w:tc>
      </w:tr>
      <w:tr w:rsidR="004572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4"/>
                <w:szCs w:val="24"/>
                <w:lang w:eastAsia="hr-HR"/>
              </w:rPr>
              <w:t>E-adresa na koju se dostavlja poziv:</w:t>
            </w:r>
          </w:p>
        </w:tc>
        <w:tc>
          <w:tcPr>
            <w:tcW w:w="63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ured@gimnazija-druga-st.skole.hr</w:t>
            </w:r>
          </w:p>
        </w:tc>
      </w:tr>
      <w:tr w:rsidR="004572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3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46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1.a, 2.a, 3.a</w:t>
            </w:r>
            <w:r w:rsidR="003D23FF"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i učenici fakultativne nastave francuskog jezika</w:t>
            </w:r>
          </w:p>
        </w:tc>
        <w:tc>
          <w:tcPr>
            <w:tcW w:w="1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</w:t>
            </w:r>
          </w:p>
        </w:tc>
      </w:tr>
      <w:tr w:rsidR="004572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3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63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Uz planirano upisati broj dana i noćenja: </w:t>
            </w:r>
          </w:p>
        </w:tc>
      </w:tr>
      <w:tr w:rsidR="0045728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3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468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 xml:space="preserve">Školska ekskurzija </w:t>
            </w:r>
          </w:p>
        </w:tc>
        <w:tc>
          <w:tcPr>
            <w:tcW w:w="460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6 dana, 5 noćenja</w:t>
            </w:r>
          </w:p>
        </w:tc>
        <w:tc>
          <w:tcPr>
            <w:tcW w:w="1713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45728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</w:p>
        </w:tc>
      </w:tr>
      <w:tr w:rsidR="004572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3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63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:rsidR="0045728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3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468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Država/e u inozemstvu*</w:t>
            </w:r>
          </w:p>
        </w:tc>
        <w:tc>
          <w:tcPr>
            <w:tcW w:w="63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Francuska (Provansa, Azurna obala)</w:t>
            </w:r>
          </w:p>
        </w:tc>
      </w:tr>
      <w:tr w:rsidR="00457282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39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:rsidR="00457282" w:rsidRDefault="00C74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1</w:t>
            </w:r>
            <w:r w:rsidR="005016BF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en-US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2026</w:t>
            </w:r>
          </w:p>
        </w:tc>
      </w:tr>
      <w:tr w:rsidR="0045728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457282" w:rsidRDefault="0045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39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457282" w:rsidRDefault="0045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4572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3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63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3D23FF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2</w:t>
            </w:r>
            <w:r w:rsidR="00C748CC"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9 (+/-5)</w:t>
            </w:r>
          </w:p>
        </w:tc>
      </w:tr>
      <w:tr w:rsidR="00457282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34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468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Predviđeni broj učenika</w:t>
            </w:r>
          </w:p>
        </w:tc>
        <w:tc>
          <w:tcPr>
            <w:tcW w:w="349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br/>
            </w:r>
            <w:r w:rsidR="003D23FF"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2</w:t>
            </w: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7 (+/- 5)</w:t>
            </w:r>
          </w:p>
        </w:tc>
        <w:tc>
          <w:tcPr>
            <w:tcW w:w="283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457282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</w:p>
        </w:tc>
      </w:tr>
      <w:tr w:rsidR="00457282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34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468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Predviđeni broj učitelja</w:t>
            </w:r>
          </w:p>
        </w:tc>
        <w:tc>
          <w:tcPr>
            <w:tcW w:w="6322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2</w:t>
            </w:r>
          </w:p>
        </w:tc>
      </w:tr>
      <w:tr w:rsidR="00457282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34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468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Očekivani broj gratis ponuda za učenike</w:t>
            </w:r>
          </w:p>
        </w:tc>
        <w:tc>
          <w:tcPr>
            <w:tcW w:w="63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/</w:t>
            </w: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br/>
            </w:r>
          </w:p>
        </w:tc>
      </w:tr>
      <w:tr w:rsidR="004572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3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63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4572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3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Mjesto polaska</w:t>
            </w:r>
          </w:p>
        </w:tc>
        <w:tc>
          <w:tcPr>
            <w:tcW w:w="63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Split</w:t>
            </w:r>
          </w:p>
        </w:tc>
      </w:tr>
      <w:tr w:rsidR="004572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3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Imena mjesta (gradova i/ili naselja) koja se posjećuju:</w:t>
            </w:r>
          </w:p>
        </w:tc>
        <w:tc>
          <w:tcPr>
            <w:tcW w:w="63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 xml:space="preserve">Monaco, Nice, </w:t>
            </w:r>
            <w:proofErr w:type="spellStart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Aix</w:t>
            </w:r>
            <w:proofErr w:type="spellEnd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en</w:t>
            </w:r>
            <w:proofErr w:type="spellEnd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Provence</w:t>
            </w:r>
            <w:proofErr w:type="spellEnd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Avignon</w:t>
            </w:r>
            <w:proofErr w:type="spellEnd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Nimes</w:t>
            </w:r>
            <w:proofErr w:type="spellEnd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Arles</w:t>
            </w:r>
            <w:proofErr w:type="spellEnd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Roussillon</w:t>
            </w:r>
            <w:proofErr w:type="spellEnd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Cannes</w:t>
            </w:r>
            <w:proofErr w:type="spellEnd"/>
          </w:p>
        </w:tc>
      </w:tr>
      <w:tr w:rsidR="004572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3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63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:rsidR="0045728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lastRenderedPageBreak/>
              <w:br/>
            </w:r>
          </w:p>
        </w:tc>
        <w:tc>
          <w:tcPr>
            <w:tcW w:w="43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468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Trajekt</w:t>
            </w:r>
          </w:p>
        </w:tc>
        <w:tc>
          <w:tcPr>
            <w:tcW w:w="63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X (u polasku)</w:t>
            </w: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br/>
            </w:r>
          </w:p>
        </w:tc>
      </w:tr>
      <w:tr w:rsidR="0045728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457282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3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457282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3468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457282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63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457282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</w:p>
        </w:tc>
      </w:tr>
      <w:tr w:rsidR="0045728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3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468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 xml:space="preserve">Autobus </w:t>
            </w:r>
            <w:r>
              <w:rPr>
                <w:rFonts w:ascii="Caladea" w:hAnsi="Caladea"/>
                <w:b/>
                <w:color w:val="221F1F"/>
                <w:sz w:val="24"/>
                <w:szCs w:val="24"/>
              </w:rPr>
              <w:t>koji udovoljava zakonskim propisima za prijevoz učenika</w:t>
            </w:r>
          </w:p>
        </w:tc>
        <w:tc>
          <w:tcPr>
            <w:tcW w:w="63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X (cijelo putovanje)</w:t>
            </w: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br/>
            </w:r>
          </w:p>
        </w:tc>
      </w:tr>
      <w:tr w:rsidR="004572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3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63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45728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3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468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Hotel, ako je moguće:</w:t>
            </w:r>
          </w:p>
        </w:tc>
        <w:tc>
          <w:tcPr>
            <w:tcW w:w="63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***</w:t>
            </w:r>
          </w:p>
        </w:tc>
      </w:tr>
      <w:tr w:rsidR="0045728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45728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43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b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3468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bliže centru grada*</w:t>
            </w:r>
          </w:p>
        </w:tc>
        <w:tc>
          <w:tcPr>
            <w:tcW w:w="63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 xml:space="preserve">X </w:t>
            </w:r>
            <w:r>
              <w:rPr>
                <w:rFonts w:ascii="inherit" w:eastAsia="Times New Roman" w:hAnsi="inherit" w:cs="Times New Roman"/>
                <w:color w:val="231F20"/>
                <w:sz w:val="24"/>
                <w:szCs w:val="24"/>
                <w:lang w:eastAsia="hr-HR"/>
              </w:rPr>
              <w:t xml:space="preserve">(Nice,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4"/>
                <w:szCs w:val="24"/>
                <w:lang w:eastAsia="hr-HR"/>
              </w:rPr>
              <w:t>Avignon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4"/>
                <w:szCs w:val="24"/>
                <w:lang w:eastAsia="hr-HR"/>
              </w:rPr>
              <w:t>)</w:t>
            </w:r>
          </w:p>
        </w:tc>
      </w:tr>
      <w:tr w:rsidR="0045728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3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468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Prehrana na bazi polupansiona</w:t>
            </w:r>
          </w:p>
        </w:tc>
        <w:tc>
          <w:tcPr>
            <w:tcW w:w="63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X</w:t>
            </w:r>
          </w:p>
        </w:tc>
      </w:tr>
      <w:tr w:rsidR="004572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3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63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45728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3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468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Ulaznice za</w:t>
            </w:r>
          </w:p>
        </w:tc>
        <w:tc>
          <w:tcPr>
            <w:tcW w:w="63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4"/>
                <w:szCs w:val="24"/>
                <w:lang w:eastAsia="hr-HR"/>
              </w:rPr>
              <w:t xml:space="preserve">Papinska palača u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4"/>
                <w:szCs w:val="24"/>
                <w:lang w:eastAsia="hr-HR"/>
              </w:rPr>
              <w:t>Avignonu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4"/>
                <w:szCs w:val="24"/>
                <w:lang w:eastAsia="hr-HR"/>
              </w:rPr>
              <w:t xml:space="preserve">, Pont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4"/>
                <w:szCs w:val="24"/>
                <w:lang w:eastAsia="hr-HR"/>
              </w:rPr>
              <w:t>du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4"/>
                <w:szCs w:val="24"/>
                <w:lang w:eastAsia="hr-HR"/>
              </w:rPr>
              <w:t xml:space="preserve"> Gard, Arena (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4"/>
                <w:szCs w:val="24"/>
                <w:lang w:eastAsia="hr-HR"/>
              </w:rPr>
              <w:t>Arles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4"/>
                <w:szCs w:val="24"/>
                <w:lang w:eastAsia="hr-HR"/>
              </w:rPr>
              <w:t xml:space="preserve">),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4"/>
                <w:szCs w:val="24"/>
                <w:lang w:eastAsia="hr-HR"/>
              </w:rPr>
              <w:t>Gras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4"/>
                <w:szCs w:val="24"/>
                <w:lang w:eastAsia="hr-HR"/>
              </w:rPr>
              <w:t>Fumeria</w:t>
            </w:r>
            <w:proofErr w:type="spellEnd"/>
          </w:p>
        </w:tc>
      </w:tr>
      <w:tr w:rsidR="0045728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3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468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Turističkog vodiča za razgled grada</w:t>
            </w:r>
          </w:p>
        </w:tc>
        <w:tc>
          <w:tcPr>
            <w:tcW w:w="63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 xml:space="preserve">Monaco, Nice, </w:t>
            </w:r>
            <w:proofErr w:type="spellStart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Aix</w:t>
            </w:r>
            <w:proofErr w:type="spellEnd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en</w:t>
            </w:r>
            <w:proofErr w:type="spellEnd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Provence</w:t>
            </w:r>
            <w:proofErr w:type="spellEnd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Avignon</w:t>
            </w:r>
            <w:proofErr w:type="spellEnd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Nimes</w:t>
            </w:r>
            <w:proofErr w:type="spellEnd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Arles</w:t>
            </w:r>
            <w:proofErr w:type="spellEnd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Roussillon</w:t>
            </w:r>
            <w:proofErr w:type="spellEnd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Cannes</w:t>
            </w:r>
            <w:proofErr w:type="spellEnd"/>
          </w:p>
        </w:tc>
      </w:tr>
      <w:tr w:rsidR="0045728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3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:rsidR="0045728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3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6959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posljedica nesretnoga slučaja i bolesti na putovanju u inozemstvu</w:t>
            </w:r>
          </w:p>
        </w:tc>
        <w:tc>
          <w:tcPr>
            <w:tcW w:w="283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45728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3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6959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zdravstvenog osiguranja za vrijeme puta i boravka u inozemstvu</w:t>
            </w:r>
          </w:p>
        </w:tc>
        <w:tc>
          <w:tcPr>
            <w:tcW w:w="283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>X</w:t>
            </w:r>
          </w:p>
        </w:tc>
      </w:tr>
      <w:tr w:rsidR="0045728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3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6959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otkaza putovanja</w:t>
            </w:r>
          </w:p>
        </w:tc>
        <w:tc>
          <w:tcPr>
            <w:tcW w:w="283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>X</w:t>
            </w:r>
          </w:p>
        </w:tc>
      </w:tr>
      <w:tr w:rsidR="0045728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3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6959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83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45728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3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6959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oštećenja i gubitka prtljage</w:t>
            </w:r>
          </w:p>
        </w:tc>
        <w:tc>
          <w:tcPr>
            <w:tcW w:w="283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>X</w:t>
            </w:r>
          </w:p>
        </w:tc>
      </w:tr>
      <w:tr w:rsidR="00457282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457282">
        <w:tc>
          <w:tcPr>
            <w:tcW w:w="4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Rok dostave ponuda je</w:t>
            </w:r>
          </w:p>
        </w:tc>
        <w:tc>
          <w:tcPr>
            <w:tcW w:w="63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736E32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29.12.2025</w:t>
            </w:r>
            <w:r w:rsidR="00C748CC"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do</w:t>
            </w:r>
            <w:r w:rsidR="00C748CC"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 xml:space="preserve"> 18:00h</w:t>
            </w:r>
          </w:p>
        </w:tc>
      </w:tr>
      <w:tr w:rsidR="00457282">
        <w:tc>
          <w:tcPr>
            <w:tcW w:w="78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C74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 xml:space="preserve">Razmatranje ponuda održat će se u školi dana 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736E3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12.1.2026.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7282" w:rsidRDefault="00736E3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>15:35</w:t>
            </w:r>
            <w:r w:rsidR="00C748CC">
              <w:rPr>
                <w:rFonts w:ascii="inherit" w:eastAsia="Times New Roman" w:hAnsi="inherit" w:cs="Times New Roman"/>
                <w:b/>
                <w:color w:val="231F20"/>
                <w:sz w:val="24"/>
                <w:szCs w:val="24"/>
                <w:lang w:eastAsia="hr-HR"/>
              </w:rPr>
              <w:t xml:space="preserve"> h </w:t>
            </w:r>
          </w:p>
        </w:tc>
      </w:tr>
    </w:tbl>
    <w:p w:rsidR="00457282" w:rsidRDefault="00457282"/>
    <w:p w:rsidR="00457282" w:rsidRDefault="00C748CC">
      <w:r>
        <w:t>Napomene:</w:t>
      </w:r>
    </w:p>
    <w:p w:rsidR="00457282" w:rsidRDefault="00C748CC">
      <w:r>
        <w:t xml:space="preserve">Ponuditelj je obvezan dostaviti ponude do roka naznačenog u obrascu, </w:t>
      </w:r>
      <w:r>
        <w:rPr>
          <w:b/>
        </w:rPr>
        <w:t>u zatvorenoj omotnici s naznakom »Javni poziv – ne otvaraj« i brojem ponude</w:t>
      </w:r>
      <w:r>
        <w:t xml:space="preserve"> na adresu Škole (Nikole Tesle 10, Split) (NN 67/2014 ).</w:t>
      </w:r>
    </w:p>
    <w:p w:rsidR="00457282" w:rsidRDefault="00457282"/>
    <w:p w:rsidR="00457282" w:rsidRDefault="00C748CC">
      <w:r>
        <w:lastRenderedPageBreak/>
        <w:t>Agencije mogu dostaviti dvije ponude na isti javni poziv, ponudu koja uključuje povratak avionom i ponudu koja uključuje povratak brodom.</w:t>
      </w:r>
    </w:p>
    <w:p w:rsidR="00457282" w:rsidRDefault="00C748CC">
      <w:r>
        <w:t>1. Prije potpisivanja ugovora za ponudu odabrani davatelj usluga dužan je dostaviti ili dati školi na uvid:</w:t>
      </w:r>
    </w:p>
    <w:p w:rsidR="00457282" w:rsidRDefault="00C748CC">
      <w:r>
        <w:t>a) dokaz o registraciji (preslika izvatka iz sudskog ili obrtnog registra) iz kojeg je razvidno da je davatelj usluga registriran za obavljanje djelatnosti turističke agencije,</w:t>
      </w:r>
    </w:p>
    <w:p w:rsidR="00457282" w:rsidRDefault="00C748CC">
      <w: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457282" w:rsidRDefault="00C748CC">
      <w:r>
        <w:t>2. Mjesec dana prije realizacije ugovora odabrani davatelj usluga dužan je dostaviti ili dati školi na uvid:</w:t>
      </w:r>
    </w:p>
    <w:p w:rsidR="00457282" w:rsidRDefault="00C748CC">
      <w:r>
        <w:t>a) dokaz o osiguranju jamčevine za slučaj nesolventnosti (za višednevnu ekskurziju ili višednevnu terensku nastavu),</w:t>
      </w:r>
    </w:p>
    <w:p w:rsidR="00457282" w:rsidRDefault="00C748CC">
      <w:r>
        <w:t>b) dokaz o osiguranju od odgovornosti za štetu koju turistička agencija prouzroči neispunjenjem, djelomičnim ispunjenjem ili neurednim ispunjenjem obveza iz paket-aranžmana (preslika polica).</w:t>
      </w:r>
    </w:p>
    <w:p w:rsidR="00457282" w:rsidRDefault="00C748CC">
      <w:r>
        <w:t>3. U slučaju da se poziv objavljuje sukladno čl. 13. st. 12. Pravilnika, dokaz iz točke 2. dostavlja se sedam (7) dana prije realizacije ugovora.</w:t>
      </w:r>
    </w:p>
    <w:p w:rsidR="00457282" w:rsidRDefault="00C748CC">
      <w:r>
        <w:rPr>
          <w:i/>
          <w:iCs/>
        </w:rPr>
        <w:t>Napomena:</w:t>
      </w:r>
    </w:p>
    <w:p w:rsidR="00457282" w:rsidRDefault="00C748CC">
      <w:r>
        <w:t>1) Pristigle ponude trebaju sadržavati i u cijenu uključivati:</w:t>
      </w:r>
    </w:p>
    <w:p w:rsidR="00457282" w:rsidRDefault="00C748CC">
      <w:r>
        <w:t>a) prijevoz sudionika isključivo prijevoznim sredstvima koji udovoljavaju propisima,</w:t>
      </w:r>
    </w:p>
    <w:p w:rsidR="00457282" w:rsidRDefault="00C748CC">
      <w:r>
        <w:t>b) osiguranje odgovornosti i jamčevine.</w:t>
      </w:r>
    </w:p>
    <w:p w:rsidR="00457282" w:rsidRDefault="00C748CC">
      <w:r>
        <w:t>2) Ponude trebaju biti:</w:t>
      </w:r>
    </w:p>
    <w:p w:rsidR="00457282" w:rsidRDefault="00C748CC">
      <w:r>
        <w:t>a) u skladu s posebnim propisima kojima se uređuje pružanje usluga u turizmu i obavljanje ugostiteljske djelatnosti ili sukladno posebnim propisima,</w:t>
      </w:r>
    </w:p>
    <w:p w:rsidR="00457282" w:rsidRDefault="00C748CC">
      <w:r>
        <w:t>b) razrađene prema traženim točkama i s iskazanom ukupnom cijenom za pojedinog učenika.</w:t>
      </w:r>
    </w:p>
    <w:p w:rsidR="00457282" w:rsidRDefault="00C748CC">
      <w:r>
        <w:t>3) U obzir će se uzimati ponude zaprimljene poštom na školsku ustanovu do navedenoga roka (dana i sata), odnosno e-poštom ako se postupak provodi sukladno čl. 13. st. 13. ovoga Pravilnika.</w:t>
      </w:r>
    </w:p>
    <w:p w:rsidR="00457282" w:rsidRDefault="00C748CC">
      <w: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457282" w:rsidRDefault="00C748CC">
      <w:r>
        <w:t>5) Potencijalni davatelj usluga ne može dopisivati i nuditi dodatne pogodnosti.</w:t>
      </w:r>
    </w:p>
    <w:p w:rsidR="00457282" w:rsidRDefault="00457282"/>
    <w:p w:rsidR="00457282" w:rsidRDefault="00457282"/>
    <w:p w:rsidR="00457282" w:rsidRDefault="00457282"/>
    <w:p w:rsidR="00457282" w:rsidRDefault="00457282"/>
    <w:p w:rsidR="00457282" w:rsidRDefault="00457282"/>
    <w:p w:rsidR="00457282" w:rsidRDefault="00457282"/>
    <w:p w:rsidR="00457282" w:rsidRDefault="00457282"/>
    <w:p w:rsidR="00457282" w:rsidRDefault="00457282"/>
    <w:p w:rsidR="00457282" w:rsidRDefault="00C748CC">
      <w:pPr>
        <w:rPr>
          <w:b/>
        </w:rPr>
      </w:pPr>
      <w:r>
        <w:rPr>
          <w:b/>
        </w:rPr>
        <w:lastRenderedPageBreak/>
        <w:t>Prijedlog plana puta:</w:t>
      </w:r>
    </w:p>
    <w:p w:rsidR="00457282" w:rsidRDefault="00457282">
      <w:pPr>
        <w:rPr>
          <w:b/>
        </w:rPr>
      </w:pPr>
    </w:p>
    <w:p w:rsidR="00457282" w:rsidRDefault="00C748CC">
      <w:pPr>
        <w:rPr>
          <w:b/>
        </w:rPr>
      </w:pPr>
      <w:r>
        <w:rPr>
          <w:b/>
        </w:rPr>
        <w:t>1. dan</w:t>
      </w:r>
    </w:p>
    <w:p w:rsidR="00457282" w:rsidRDefault="00C748CC">
      <w:r>
        <w:t xml:space="preserve">Polazak u večernjim satima iz trajektne luke Split trajektom za </w:t>
      </w:r>
      <w:proofErr w:type="spellStart"/>
      <w:r>
        <w:t>Anconu</w:t>
      </w:r>
      <w:proofErr w:type="spellEnd"/>
      <w:r>
        <w:t xml:space="preserve">. </w:t>
      </w:r>
    </w:p>
    <w:p w:rsidR="00457282" w:rsidRDefault="00C748CC">
      <w:pPr>
        <w:rPr>
          <w:b/>
        </w:rPr>
      </w:pPr>
      <w:r>
        <w:rPr>
          <w:b/>
        </w:rPr>
        <w:t>2. dan</w:t>
      </w:r>
    </w:p>
    <w:p w:rsidR="00457282" w:rsidRDefault="00C748CC">
      <w:r>
        <w:t xml:space="preserve">Dolazak u </w:t>
      </w:r>
      <w:proofErr w:type="spellStart"/>
      <w:r>
        <w:t>Anconu</w:t>
      </w:r>
      <w:proofErr w:type="spellEnd"/>
      <w:r>
        <w:t xml:space="preserve"> u ranim jutarnjim satima. Nastavak putovanja autobusom prema Monacu. Razgled grada (Oceanografski institut, Katedrala i Kneževe palača, Brdo Monte Carlo). Slobodno vrijeme. Nastavak putovanja za Nicu i razgled grada (Zaljev Anđela, Hotel </w:t>
      </w:r>
      <w:proofErr w:type="spellStart"/>
      <w:r>
        <w:t>Negresco</w:t>
      </w:r>
      <w:proofErr w:type="spellEnd"/>
      <w:r>
        <w:t xml:space="preserve">, Tržnica cvijeća, Ulica </w:t>
      </w:r>
      <w:proofErr w:type="spellStart"/>
      <w:r>
        <w:t>Massena</w:t>
      </w:r>
      <w:proofErr w:type="spellEnd"/>
      <w:r>
        <w:t>). Slobodno vrijeme. Smještaj u hotel. Večera. Noćenje.</w:t>
      </w:r>
    </w:p>
    <w:p w:rsidR="00457282" w:rsidRDefault="00C748CC">
      <w:pPr>
        <w:rPr>
          <w:b/>
        </w:rPr>
      </w:pPr>
      <w:r>
        <w:rPr>
          <w:b/>
        </w:rPr>
        <w:t>3.dan</w:t>
      </w:r>
    </w:p>
    <w:p w:rsidR="00457282" w:rsidRDefault="00C748CC">
      <w:r>
        <w:t xml:space="preserve">Doručak, odjava iz hotela i polazak prema gradu </w:t>
      </w:r>
      <w:proofErr w:type="spellStart"/>
      <w:r>
        <w:t>Aix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Provence</w:t>
      </w:r>
      <w:proofErr w:type="spellEnd"/>
      <w:r>
        <w:t xml:space="preserve">. Obilazak grada (katedrala, </w:t>
      </w:r>
      <w:proofErr w:type="spellStart"/>
      <w:r>
        <w:t>Mirabeau</w:t>
      </w:r>
      <w:proofErr w:type="spellEnd"/>
      <w:r>
        <w:t xml:space="preserve">, muzej </w:t>
      </w:r>
      <w:proofErr w:type="spellStart"/>
      <w:r>
        <w:t>Granet</w:t>
      </w:r>
      <w:proofErr w:type="spellEnd"/>
      <w:r>
        <w:t xml:space="preserve">, Gradska vijećnica). Slobodno vrijeme. Nastavak putovanja za </w:t>
      </w:r>
      <w:proofErr w:type="spellStart"/>
      <w:r>
        <w:t>Avignon</w:t>
      </w:r>
      <w:proofErr w:type="spellEnd"/>
      <w:r>
        <w:t xml:space="preserve">. Razgled grada (Katedrala Notre Dame, </w:t>
      </w:r>
      <w:proofErr w:type="spellStart"/>
      <w:r>
        <w:t>Papinsa</w:t>
      </w:r>
      <w:proofErr w:type="spellEnd"/>
      <w:r>
        <w:t xml:space="preserve"> palača, Pont </w:t>
      </w:r>
      <w:proofErr w:type="spellStart"/>
      <w:r>
        <w:t>d'Avignon</w:t>
      </w:r>
      <w:proofErr w:type="spellEnd"/>
      <w:r>
        <w:t xml:space="preserve">, </w:t>
      </w:r>
      <w:proofErr w:type="spellStart"/>
      <w:r>
        <w:t>Plas</w:t>
      </w:r>
      <w:proofErr w:type="spellEnd"/>
      <w:r>
        <w:t xml:space="preserve"> </w:t>
      </w:r>
      <w:proofErr w:type="spellStart"/>
      <w:r>
        <w:t>d'Horloge</w:t>
      </w:r>
      <w:proofErr w:type="spellEnd"/>
      <w:r>
        <w:t xml:space="preserve">, Most </w:t>
      </w:r>
      <w:proofErr w:type="spellStart"/>
      <w:r>
        <w:t>Sant</w:t>
      </w:r>
      <w:proofErr w:type="spellEnd"/>
      <w:r>
        <w:t xml:space="preserve"> </w:t>
      </w:r>
      <w:proofErr w:type="spellStart"/>
      <w:r>
        <w:t>Benazet</w:t>
      </w:r>
      <w:proofErr w:type="spellEnd"/>
      <w:r>
        <w:t>). Slobodno vrijeme. Smještaj u hotel. Večera. Noćenje.</w:t>
      </w:r>
    </w:p>
    <w:p w:rsidR="00457282" w:rsidRDefault="00C748CC">
      <w:pPr>
        <w:rPr>
          <w:b/>
        </w:rPr>
      </w:pPr>
      <w:r>
        <w:rPr>
          <w:b/>
        </w:rPr>
        <w:t>4. dan</w:t>
      </w:r>
    </w:p>
    <w:p w:rsidR="00457282" w:rsidRDefault="00C748CC">
      <w:r>
        <w:t xml:space="preserve">Nakon doručka vožnja za </w:t>
      </w:r>
      <w:proofErr w:type="spellStart"/>
      <w:r>
        <w:t>Nimes</w:t>
      </w:r>
      <w:proofErr w:type="spellEnd"/>
      <w:r>
        <w:t xml:space="preserve">. Obilazak grada (Amfiteatar, </w:t>
      </w:r>
      <w:proofErr w:type="spellStart"/>
      <w:r>
        <w:t>Maison</w:t>
      </w:r>
      <w:proofErr w:type="spellEnd"/>
      <w:r>
        <w:t xml:space="preserve"> </w:t>
      </w:r>
      <w:proofErr w:type="spellStart"/>
      <w:r>
        <w:t>Carre</w:t>
      </w:r>
      <w:proofErr w:type="spellEnd"/>
      <w:r>
        <w:t xml:space="preserve">, Jardin de la </w:t>
      </w:r>
      <w:proofErr w:type="spellStart"/>
      <w:r>
        <w:t>Fontaine</w:t>
      </w:r>
      <w:proofErr w:type="spellEnd"/>
      <w:r>
        <w:t xml:space="preserve">). Slobodno vrijeme. Odlazak u razgled poznatog akvadukta Pont </w:t>
      </w:r>
      <w:proofErr w:type="spellStart"/>
      <w:r>
        <w:t>du</w:t>
      </w:r>
      <w:proofErr w:type="spellEnd"/>
      <w:r>
        <w:t xml:space="preserve"> Gard u blizini. Vožnja prema </w:t>
      </w:r>
      <w:proofErr w:type="spellStart"/>
      <w:r>
        <w:t>Arles</w:t>
      </w:r>
      <w:proofErr w:type="spellEnd"/>
      <w:r>
        <w:t xml:space="preserve">. Obilazak grada (teatar, arena, rimsko groblje, Place Forum s </w:t>
      </w:r>
      <w:proofErr w:type="spellStart"/>
      <w:r>
        <w:t>kafanom</w:t>
      </w:r>
      <w:proofErr w:type="spellEnd"/>
      <w:r>
        <w:t xml:space="preserve"> </w:t>
      </w:r>
      <w:proofErr w:type="spellStart"/>
      <w:r>
        <w:t>Cafe</w:t>
      </w:r>
      <w:proofErr w:type="spellEnd"/>
      <w:r>
        <w:t xml:space="preserve"> de </w:t>
      </w:r>
      <w:proofErr w:type="spellStart"/>
      <w:r>
        <w:t>Nuit</w:t>
      </w:r>
      <w:proofErr w:type="spellEnd"/>
      <w:r>
        <w:t xml:space="preserve">). Slobodno vrijeme. Povratak u </w:t>
      </w:r>
      <w:proofErr w:type="spellStart"/>
      <w:r>
        <w:t>Avignon</w:t>
      </w:r>
      <w:proofErr w:type="spellEnd"/>
      <w:r>
        <w:t>. Večera. Noćenje.</w:t>
      </w:r>
    </w:p>
    <w:p w:rsidR="00457282" w:rsidRDefault="00C748CC">
      <w:pPr>
        <w:rPr>
          <w:b/>
        </w:rPr>
      </w:pPr>
      <w:r>
        <w:rPr>
          <w:b/>
        </w:rPr>
        <w:t>5.dan</w:t>
      </w:r>
    </w:p>
    <w:p w:rsidR="00457282" w:rsidRDefault="00C748CC">
      <w:r>
        <w:t xml:space="preserve">Nakon doručka odlazak na cjelodnevni izlet u </w:t>
      </w:r>
      <w:proofErr w:type="spellStart"/>
      <w:r>
        <w:t>Roussion</w:t>
      </w:r>
      <w:proofErr w:type="spellEnd"/>
      <w:r>
        <w:t xml:space="preserve"> i </w:t>
      </w:r>
      <w:proofErr w:type="spellStart"/>
      <w:r>
        <w:t>Gordes</w:t>
      </w:r>
      <w:proofErr w:type="spellEnd"/>
      <w:r>
        <w:t xml:space="preserve">. Dolazak u </w:t>
      </w:r>
      <w:proofErr w:type="spellStart"/>
      <w:r>
        <w:t>Gordes</w:t>
      </w:r>
      <w:proofErr w:type="spellEnd"/>
      <w:r>
        <w:t xml:space="preserve">, razgledavanje opatije </w:t>
      </w:r>
      <w:proofErr w:type="spellStart"/>
      <w:r>
        <w:t>Abbaye</w:t>
      </w:r>
      <w:proofErr w:type="spellEnd"/>
      <w:r>
        <w:t xml:space="preserve"> de </w:t>
      </w:r>
      <w:proofErr w:type="spellStart"/>
      <w:r>
        <w:t>Senanque</w:t>
      </w:r>
      <w:proofErr w:type="spellEnd"/>
      <w:r>
        <w:t xml:space="preserve"> i nastavak vožnje prema mjesta </w:t>
      </w:r>
      <w:proofErr w:type="spellStart"/>
      <w:r>
        <w:t>Roussion</w:t>
      </w:r>
      <w:proofErr w:type="spellEnd"/>
      <w:r>
        <w:t>. Razgledavanje i slobodno vrijeme. Povratak u hotel. Večera. Noćenje.</w:t>
      </w:r>
    </w:p>
    <w:p w:rsidR="00457282" w:rsidRDefault="00C748CC">
      <w:pPr>
        <w:rPr>
          <w:b/>
        </w:rPr>
      </w:pPr>
      <w:r>
        <w:rPr>
          <w:b/>
        </w:rPr>
        <w:t>6. dan</w:t>
      </w:r>
    </w:p>
    <w:p w:rsidR="00457282" w:rsidRDefault="00C748CC">
      <w:r>
        <w:t xml:space="preserve">Doručak i odjava iz hotela. Odlazak U Grasse u posjetu muzeju/tvornici parfema. Vođeni razgled. Nastavak putovanja prema </w:t>
      </w:r>
      <w:proofErr w:type="spellStart"/>
      <w:r>
        <w:t>Cannesu</w:t>
      </w:r>
      <w:proofErr w:type="spellEnd"/>
      <w:r>
        <w:t xml:space="preserve">. Razgled grada (Palača filmskog festivala). Slobodno vrijeme.  Vožnja za Hrvatsku. </w:t>
      </w:r>
    </w:p>
    <w:p w:rsidR="00457282" w:rsidRDefault="00C748CC">
      <w:pPr>
        <w:rPr>
          <w:b/>
        </w:rPr>
      </w:pPr>
      <w:r>
        <w:rPr>
          <w:b/>
        </w:rPr>
        <w:t>7. dan</w:t>
      </w:r>
    </w:p>
    <w:p w:rsidR="00457282" w:rsidRDefault="00C748CC">
      <w:r>
        <w:t>Dolazak na polazišnu točku u ranim jutarnjim satima.</w:t>
      </w:r>
    </w:p>
    <w:p w:rsidR="00457282" w:rsidRDefault="00457282"/>
    <w:sectPr w:rsidR="004572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BD5" w:rsidRDefault="009E3BD5">
      <w:pPr>
        <w:spacing w:line="240" w:lineRule="auto"/>
      </w:pPr>
      <w:r>
        <w:separator/>
      </w:r>
    </w:p>
  </w:endnote>
  <w:endnote w:type="continuationSeparator" w:id="0">
    <w:p w:rsidR="009E3BD5" w:rsidRDefault="009E3B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charset w:val="00"/>
    <w:family w:val="roman"/>
    <w:pitch w:val="default"/>
  </w:font>
  <w:font w:name="Minion Pro">
    <w:altName w:val="Times New Roman"/>
    <w:charset w:val="00"/>
    <w:family w:val="roman"/>
    <w:pitch w:val="default"/>
  </w:font>
  <w:font w:name="Caladea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BD5" w:rsidRDefault="009E3BD5">
      <w:pPr>
        <w:spacing w:after="0"/>
      </w:pPr>
      <w:r>
        <w:separator/>
      </w:r>
    </w:p>
  </w:footnote>
  <w:footnote w:type="continuationSeparator" w:id="0">
    <w:p w:rsidR="009E3BD5" w:rsidRDefault="009E3B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CC"/>
    <w:rsid w:val="000312AC"/>
    <w:rsid w:val="00135504"/>
    <w:rsid w:val="001A589F"/>
    <w:rsid w:val="002B4027"/>
    <w:rsid w:val="003109B5"/>
    <w:rsid w:val="003B2886"/>
    <w:rsid w:val="003C7113"/>
    <w:rsid w:val="003D23FF"/>
    <w:rsid w:val="003D39C0"/>
    <w:rsid w:val="0041267E"/>
    <w:rsid w:val="00424A73"/>
    <w:rsid w:val="00451E44"/>
    <w:rsid w:val="00457282"/>
    <w:rsid w:val="00476C7D"/>
    <w:rsid w:val="0048334E"/>
    <w:rsid w:val="004B596F"/>
    <w:rsid w:val="005016BF"/>
    <w:rsid w:val="0051232B"/>
    <w:rsid w:val="00543A58"/>
    <w:rsid w:val="00584CF2"/>
    <w:rsid w:val="00650749"/>
    <w:rsid w:val="00736E32"/>
    <w:rsid w:val="00775941"/>
    <w:rsid w:val="007B28F9"/>
    <w:rsid w:val="007D0B24"/>
    <w:rsid w:val="007E70A1"/>
    <w:rsid w:val="0083354D"/>
    <w:rsid w:val="008B1D85"/>
    <w:rsid w:val="008C7D32"/>
    <w:rsid w:val="008F5657"/>
    <w:rsid w:val="00913356"/>
    <w:rsid w:val="00921F1B"/>
    <w:rsid w:val="009558CC"/>
    <w:rsid w:val="009E3BD5"/>
    <w:rsid w:val="009F223D"/>
    <w:rsid w:val="009F663D"/>
    <w:rsid w:val="00A0008B"/>
    <w:rsid w:val="00A1346E"/>
    <w:rsid w:val="00B30734"/>
    <w:rsid w:val="00B8330D"/>
    <w:rsid w:val="00C079A1"/>
    <w:rsid w:val="00C748CC"/>
    <w:rsid w:val="00CE4F7B"/>
    <w:rsid w:val="00CF3C40"/>
    <w:rsid w:val="00D226B8"/>
    <w:rsid w:val="00D25F2A"/>
    <w:rsid w:val="00D52051"/>
    <w:rsid w:val="00D53C69"/>
    <w:rsid w:val="00D83EF2"/>
    <w:rsid w:val="00FF48E0"/>
    <w:rsid w:val="2317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32B9"/>
  <w15:docId w15:val="{293E0B5A-DADE-46B2-9F28-9AF0FA8B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 Cambj</dc:creator>
  <cp:lastModifiedBy>Windows User</cp:lastModifiedBy>
  <cp:revision>16</cp:revision>
  <cp:lastPrinted>2022-06-17T08:23:00Z</cp:lastPrinted>
  <dcterms:created xsi:type="dcterms:W3CDTF">2022-10-14T13:41:00Z</dcterms:created>
  <dcterms:modified xsi:type="dcterms:W3CDTF">2025-12-08T12:12:00Z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F231878EF189487E898B1D8C9E645022_12</vt:lpwstr>
  </property>
</Properties>
</file>